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GradV (Brandenburg) — Gesamtdauer der Förderung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Gesamtförderungsdauer beträgt in der Regel bis zu drei Jahren. Die Mittelbewilligung erfolgt jeweils für ein Jahr.</w:t>
      </w:r>
    </w:p>
    <w:p>
      <w:r>
        <w:t xml:space="preserve">(2) Für Promotionsstipendiaten und Promotionsstipendiatinnen, die nicht über einen Master-Abschluss verfügen, sondern mit einem Bachelor-Abschluss zur Promotion zugelassen werden, kann die Förderungsdauer um zwölf Monate über die Förderungsdauer nach Absatz 1 hinaus verlängert werden.</w:t>
      </w:r>
    </w:p>
    <w:p>
      <w:r>
        <w:t xml:space="preserve">(3) Die Gesamtförderungsdauer verlängert sich um die Zeit eines Beschäftigungsverbots nach den §§ 3 und 6 des Mutterschutzgesetzes.</w:t>
      </w:r>
    </w:p>
    <w:p>
      <w:r>
        <w:t xml:space="preserve">(4) Bei Krankheit kann die Gesamtförderungsdauer um höchstens sechs Monate über die Förderungsdauer nach Absatz 1 hinaus, zuzüglich der Förderungszeiten nach den Absätzen 2 und 3 verlängert werden.</w:t>
      </w:r>
    </w:p>
    <w:p>
      <w:r>
        <w:t xml:space="preserve">(5) Für Teilzeitstipendien sind abweichende Regelungen durch die Hochschule festzulegen.</w:t>
      </w:r>
    </w:p>
    <w:p>
      <w:r>
        <w:rPr>
          <w:color w:val="555555"/>
          <w:sz w:val="17"/>
        </w:rPr>
        <w:t xml:space="preserve">Zitiervorschlag: § 3 GradV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https://recht.nulegal.eu/gesetze/GradV/3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