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GradV (Brandenburg) — Art und Umfang der Förderung</w:t>
      </w:r>
    </w:p>
    <w:p>
      <w:r>
        <w:rPr>
          <w:color w:val="555555"/>
          <w:sz w:val="18"/>
        </w:rPr>
        <w:t xml:space="preserve">Graduiertenförderungsverordnung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Grundbetrag des Stipendiums beträgt 1 100 Euro monatlich (einschließlich einer Sachkostenpauschale). In begründeten Ausnahmefällen kann die Hochschule das Stipendium aus eigenen oder aus Mitteln Dritter aufstocken. Die Hochschule kann ferner Familienzuschläge gewähren.</w:t>
      </w:r>
    </w:p>
    <w:p>
      <w:r>
        <w:t xml:space="preserve">(2) Für Teilzeitstipendien kann die Hochschule abweichende Regelungen treffen.</w:t>
      </w:r>
    </w:p>
    <w:p>
      <w:r>
        <w:t xml:space="preserve">(3) Das Stipendium wird als Zuschuss im Sinne der §§ 23 und 44 der Landeshaushaltsordnung gewährt. Ein Anspruch auf Gewährung eines Stipendiums besteht nicht.</w:t>
      </w:r>
    </w:p>
    <w:p>
      <w:r>
        <w:rPr>
          <w:color w:val="555555"/>
          <w:sz w:val="17"/>
        </w:rPr>
        <w:t xml:space="preserve">Zitiervorschlag: § 2 GradV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