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GrStG 1973 — Stichtag für die Festsetzung der Grundsteuer, Entstehung der Steuer</w:t>
      </w:r>
    </w:p>
    <w:p>
      <w:r>
        <w:rPr>
          <w:color w:val="555555"/>
          <w:sz w:val="18"/>
        </w:rPr>
        <w:t xml:space="preserve">Grundsteuergesetz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Grundsteuer wird nach den Verhältnissen zu Beginn des Kalenderjahres festgesetzt.</w:t>
      </w:r>
    </w:p>
    <w:p>
      <w:r>
        <w:t xml:space="preserve">(2) Die Steuer entsteht mit dem Beginn des Kalenderjahres, für das die Steuer festzusetzen ist.</w:t>
      </w:r>
    </w:p>
    <w:p>
      <w:r>
        <w:rPr>
          <w:color w:val="555555"/>
          <w:sz w:val="17"/>
        </w:rPr>
        <w:t xml:space="preserve">Zitiervorschlag: § 9 GrStG 1973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https://recht.nulegal.eu/gesetze/GrStG%201973/9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