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GrStG 1973 — Unmittelbare Benutzung für einen steuerbegünstigten Zweck</w:t>
      </w:r>
    </w:p>
    <w:p>
      <w:r>
        <w:rPr>
          <w:color w:val="555555"/>
          <w:sz w:val="18"/>
        </w:rPr>
        <w:t xml:space="preserve">Grundsteuergesetz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Befreiung nach den §§ 3 und 4 tritt nur ein, wenn der Steuergegenstand für den steuerbegünstigten Zweck unmittelbar benutzt wird. Unmittelbare Benutzung liegt vor, sobald der Steuergegenstand für den steuerbegünstigten Zweck hergerichtet wird.</w:t>
      </w:r>
    </w:p>
    <w:p>
      <w:r>
        <w:rPr>
          <w:color w:val="555555"/>
          <w:sz w:val="17"/>
        </w:rPr>
        <w:t xml:space="preserve">Zitiervorschlag: § 7 GrStG 1973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https://recht.nulegal.eu/gesetze/GrStG%201973/7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