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 GrStG 1973 — Land- und forstwirtschaftliches Vermögen</w:t>
      </w:r>
    </w:p>
    <w:p>
      <w:r>
        <w:rPr>
          <w:color w:val="555555"/>
          <w:sz w:val="18"/>
        </w:rPr>
        <w:t xml:space="preserve">Grundsteuergesetz</w:t>
      </w:r>
    </w:p>
    <w:p>
      <w:r>
        <w:rPr>
          <w:color w:val="555555"/>
          <w:sz w:val="18"/>
        </w:rPr>
        <w:t xml:space="preserve">Außer Kraft: § 40 ist seit 10.12.2019 nicht mehr im GrStG 1973 enthalten. Angezeigt wird die letzte bekannte Fassung, Stand 10.06.2019.</w:t>
      </w:r>
    </w:p>
    <w:p>
      <w:r>
        <w:t xml:space="preserve">Anstelle der Betriebe der Land- und Forstwirtschaft im Sinne des § 2 tritt das zu einer Nutzungseinheit zusammengefaßte Vermögen im Sinne des § 125 Abs. 3 des Bewertungsgesetzes. Schuldner der Grundsteuer ist abweichend von § 10 der Nutzer des land- und forstwirtschaftlichen Vermögens (§ 125 Abs. 2 des Bewertungsgesetzes). Mehrere Nutzer des Vermögens sind Gesamtschuldner.</w:t>
      </w:r>
    </w:p>
    <w:p>
      <w:r>
        <w:rPr>
          <w:color w:val="555555"/>
          <w:sz w:val="17"/>
        </w:rPr>
        <w:t xml:space="preserve">Zitiervorschlag: § 40 GrStG 1973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https://recht.nulegal.eu/gesetze/GrStG%201973/40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