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GrStG 1973 — Anwendung des Gesetzes</w:t>
      </w:r>
    </w:p>
    <w:p>
      <w:r>
        <w:rPr>
          <w:color w:val="555555"/>
          <w:sz w:val="18"/>
        </w:rPr>
        <w:t xml:space="preserve">Grundsteuergesetz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Diese Fassung des Gesetzes gilt erstmals für die Grundsteuer des Kalenderjahres 2025.</w:t>
      </w:r>
    </w:p>
    <w:p>
      <w:r>
        <w:t xml:space="preserve">(2) Für die Grundsteuer bis einschließlich zum Kalenderjahr 2024 findet das Grundsteuergesetz in der Fassung vom 7. August 1973 (BGBl. I S. 965), das zuletzt durch Artikel 38 des Gesetzes vom 19. Dezember 2008 (BGBl. I S. 2794) geändert worden ist, weiter Anwendung.</w:t>
      </w:r>
    </w:p>
    <w:p>
      <w:r>
        <w:t xml:space="preserve">(3) § 25 Absatz 4 und 5 in der am 1. Januar 2025 geltenden Fassung ist erstmals bei der Hauptveranlagung auf den 1. Januar 2025 anzuwenden.</w:t>
      </w:r>
    </w:p>
    <w:p>
      <w:r>
        <w:rPr>
          <w:color w:val="555555"/>
          <w:sz w:val="17"/>
        </w:rPr>
        <w:t xml:space="preserve">Zitiervorschlag: § 37 GrStG 1973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https://recht.nulegal.eu/gesetze/GrStG%201973/37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