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GrStG 1973 — Erlaß für Kulturgut und Grünanlagen</w:t>
      </w:r>
    </w:p>
    <w:p>
      <w:r>
        <w:rPr>
          <w:color w:val="555555"/>
          <w:sz w:val="18"/>
        </w:rPr>
        <w:t xml:space="preserve">Grundsteuergesetz</w:t>
      </w:r>
    </w:p>
    <w:p>
      <w:r>
        <w:rPr>
          <w:color w:val="555555"/>
          <w:sz w:val="18"/>
        </w:rPr>
        <w:t xml:space="preserve">Stand: 10.06.2019 (konsolidierte Textfassung, kein amtliches Inkrafttretensdatum)</w:t>
      </w:r>
    </w:p>
    <w:p>
      <w:r>
        <w:t xml:space="preserve">(1) Die Grundsteuer ist zu erlassen</w:t>
      </w:r>
    </w:p>
    <w:p>
      <w:pPr>
        <w:ind w:left="420"/>
      </w:pPr>
      <w:r>
        <w:t xml:space="preserve">1. für Grundbesitz oder Teile von Grundbesitz, dessen Erhaltung wegen seiner Bedeutung für Kunst, Geschichte, Wissenschaft oder Naturschutz im öffentlichen Interesse liegt, wenn die erzielten Einnahmen und die sonstigen Vorteile (Rohertrag) in der Regel unter den jährlichen Kosten liegen. Bei Park- und Gartenanlagen von geschichtlichem Wert ist der Erlaß von der weiteren Voraussetzung abhängig, daß sie in dem billigerweise zu fordernden Umfang der Öffentlichkeit zugänglich gemacht sind;</w:t>
      </w:r>
    </w:p>
    <w:p>
      <w:pPr>
        <w:ind w:left="420"/>
      </w:pPr>
      <w:r>
        <w:t xml:space="preserve">2. für öffentliche Grünanlagen, Spiel- und Sportplätze, wenn die jährlichen Kosten in der Regel den Rohertrag übersteigen.</w:t>
      </w:r>
    </w:p>
    <w:p>
      <w:r>
        <w:t xml:space="preserve">(2) Ist der Rohertrag für Grundbesitz, in dessen Gebäuden Gegenstände von wissenschaftlicher, künstlerischer oder geschichtlicher Bedeutung, insbesondere Sammlungen oder Bibliotheken, dem Zweck der Forschung oder Volksbildung nutzbar gemacht sind, durch die Benutzung zu den genannten Zwecken nachhaltig gemindert, so ist von der Grundsteuer der Hundertsatz zu erlassen, um den der Rohertrag gemindert ist. Das gilt nur, wenn die wissenschaftliche, künstlerische oder geschichtliche Bedeutung der untergebrachten Gegenstände durch die Landesregierung oder die von ihr beauftragte Stelle anerkannt ist.</w:t>
      </w:r>
    </w:p>
    <w:p>
      <w:r>
        <w:rPr>
          <w:color w:val="555555"/>
          <w:sz w:val="17"/>
        </w:rPr>
        <w:t xml:space="preserve">Zitiervorschlag: § 32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