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GrStG 1973 — Vorauszahlungen</w:t>
      </w:r>
    </w:p>
    <w:p>
      <w:r>
        <w:rPr>
          <w:color w:val="555555"/>
          <w:sz w:val="18"/>
        </w:rPr>
        <w:t xml:space="preserve">Grundsteuergesetz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Steuerschuldner hat bis zur Bekanntgabe eines neuen Steuerbescheids zu den bisherigen Fälligkeitstagen Vorauszahlungen unter Zugrundelegung der zuletzt festgesetzten Jahressteuer zu entrichten.</w:t>
      </w:r>
    </w:p>
    <w:p>
      <w:r>
        <w:rPr>
          <w:color w:val="555555"/>
          <w:sz w:val="17"/>
        </w:rPr>
        <w:t xml:space="preserve">Zitiervorschlag: § 29 GrStG 1973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https://recht.nulegal.eu/gesetze/GrStG%201973/29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