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GrStG 1973 — Zerlegungsstichtag</w:t>
      </w:r>
    </w:p>
    <w:p>
      <w:r>
        <w:rPr>
          <w:color w:val="555555"/>
          <w:sz w:val="18"/>
        </w:rPr>
        <w:t xml:space="preserve">Grundsteuergesetz</w:t>
      </w:r>
    </w:p>
    <w:p>
      <w:r>
        <w:rPr>
          <w:color w:val="555555"/>
          <w:sz w:val="18"/>
        </w:rPr>
        <w:t xml:space="preserve">Stand: 10.12.2019 (konsolidierte Textfassung, kein amtliches Inkrafttretensdatum)</w:t>
      </w:r>
    </w:p>
    <w:p>
      <w:r>
        <w:t xml:space="preserve">(1) Der Zerlegung des Steuermeßbetrags werden die Verhältnisse in dem Feststellungszeitpunkt zugrunde gelegt, auf den der für die Festsetzung des Steuermeßbetrags maßgebende Grundsteuerwert festgestellt worden ist.</w:t>
      </w:r>
    </w:p>
    <w:p>
      <w:r>
        <w:t xml:space="preserve">(2) Ändern sich die Grundlagen für die Zerlegung, ohne daß der Grundsteuerwert fortgeschrieben oder nachträglich festgestellt wird, so sind die Zerlegungsanteile nach dem Stand vom 1. Januar des folgenden Jahres neu zu ermitteln, wenn wenigstens bei einer Gemeinde der neue Anteil um mehr als ein Zehntel, mindestens aber um zehn Euro von ihrem bisherigen Anteil abweicht.</w:t>
      </w:r>
    </w:p>
    <w:p>
      <w:r>
        <w:rPr>
          <w:color w:val="555555"/>
          <w:sz w:val="17"/>
        </w:rPr>
        <w:t xml:space="preserve">Zitiervorschlag: § 23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