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GrStG 1973 — Zerlegung des Steuermessbetrags</w:t>
      </w:r>
    </w:p>
    <w:p>
      <w:r>
        <w:rPr>
          <w:color w:val="555555"/>
          <w:sz w:val="18"/>
        </w:rPr>
        <w:t xml:space="preserve">Grundsteuergesetz</w:t>
      </w:r>
    </w:p>
    <w:p>
      <w:r>
        <w:rPr>
          <w:color w:val="555555"/>
          <w:sz w:val="18"/>
        </w:rPr>
        <w:t xml:space="preserve">Stand: 10.12.2019 (konsolidierte Textfassung, kein amtliches Inkrafttretensdatum)</w:t>
      </w:r>
    </w:p>
    <w:p>
      <w:r>
        <w:t xml:space="preserve">(1) Erstreckt sich der Steuergegenstand über mehrere Gemeinden, so ist der Steuermessbetrag vorbehaltlich des § 24 anteilig in die auf die einzelnen Gemeinden entfallenden Anteile zu zerlegen (Zerlegungsanteile).</w:t>
      </w:r>
    </w:p>
    <w:p>
      <w:r>
        <w:t xml:space="preserve">(2) Zerlegungsmaßstab ist bei Betrieben der Land- und Forstwirtschaft der nach § 239 Absatz 2 des Bewertungsgesetzes ermittelte Gemeindeanteil am Grundsteuerwert des Betriebs der Land- und Forstwirtschaft.</w:t>
      </w:r>
    </w:p>
    <w:p>
      <w:r>
        <w:t xml:space="preserve">(3) Zerlegungsmaßstab ist bei Grundstücken das Verhältnis, in dem die auf die einzelnen Gemeinden entfallenden Flächengrößen zueinander stehen. Führt die Zerlegung nach Flächengrößen zu einem offenbar unbilligen Ergebnis, sind die Zerlegungsanteile maßgebend, auf die sich die Gemeinden mit dem Steuerschuldner einigen.</w:t>
      </w:r>
    </w:p>
    <w:p>
      <w:r>
        <w:t xml:space="preserve">(4) Entfällt auf eine Gemeinde ein Zerlegungsanteil von weniger als 25 Euro, so ist dieser Anteil der Gemeinde zuzuweisen, der nach Absatz 2 oder 3 der größte Zerlegungsanteil zusteht.</w:t>
      </w:r>
    </w:p>
    <w:p>
      <w:r>
        <w:rPr>
          <w:color w:val="555555"/>
          <w:sz w:val="17"/>
        </w:rPr>
        <w:t xml:space="preserve">Zitiervorschlag: § 22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