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GrStG 1973 — Steuergegenstand</w:t>
      </w:r>
    </w:p>
    <w:p>
      <w:r>
        <w:rPr>
          <w:color w:val="555555"/>
          <w:sz w:val="18"/>
        </w:rPr>
        <w:t xml:space="preserve">Grundsteuergesetz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Steuergegenstand ist der inländische Grundbesitz im Sinne des Bewertungsgesetzes:</w:t>
      </w:r>
    </w:p>
    <w:p>
      <w:pPr>
        <w:ind w:left="420"/>
      </w:pPr>
      <w:r>
        <w:t xml:space="preserve">1. die Betriebe der Land- und Forstwirtschaft (§§ 232 bis 234, 240 des Bewertungsgesetzes); diesen stehen die in § 218 Satz 2 des Bewertungsgesetzes bezeichneten Betriebsgrundstücke gleich;</w:t>
      </w:r>
    </w:p>
    <w:p>
      <w:pPr>
        <w:ind w:left="420"/>
      </w:pPr>
      <w:r>
        <w:t xml:space="preserve">2. die Grundstücke (§§ 243, 244 des Bewertungsgesetzes); diesen stehen die in § 218 Satz 3 des Bewertungsgesetzes bezeichneten Betriebsgrundstücke gleich.</w:t>
      </w:r>
    </w:p>
    <w:p>
      <w:r>
        <w:rPr>
          <w:color w:val="555555"/>
          <w:sz w:val="17"/>
        </w:rPr>
        <w:t xml:space="preserve">Zitiervorschlag: § 2 GrStG 1973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https://recht.nulegal.eu/gesetze/GrStG%201973/2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