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GrStG 1973 — Anzeigepflicht</w:t>
      </w:r>
    </w:p>
    <w:p>
      <w:r>
        <w:rPr>
          <w:color w:val="555555"/>
          <w:sz w:val="18"/>
        </w:rPr>
        <w:t xml:space="preserve">Grundsteuergesetz</w:t>
      </w:r>
    </w:p>
    <w:p>
      <w:r>
        <w:rPr>
          <w:color w:val="555555"/>
          <w:sz w:val="18"/>
        </w:rPr>
        <w:t xml:space="preserve">Stand: 01.01.2025 (konsolidierte Textfassung, kein amtliches Inkrafttretensdatum)</w:t>
      </w:r>
    </w:p>
    <w:p>
      <w:r>
        <w:t xml:space="preserve">(1) Jede Änderung in der Nutzung oder in den Eigentumsverhältnissen eines ganz oder teilweise von der Grundsteuer befreiten Steuergegenstandes, die zu einer Änderung oder zum Wegfall der Steuerbefreiung führen kann, hat derjenige anzuzeigen, der nach § 10 als Steuerschuldner in Betracht kommt.</w:t>
      </w:r>
    </w:p>
    <w:p>
      <w:r>
        <w:t xml:space="preserve">(2) Den Wegfall der Voraussetzungen für die ermäßigte Steuermesszahl nach § 15 Absatz 2 bis 5 hat derjenige anzuzeigen, der nach § 10 als Steuerschuldner in Betracht kommt.</w:t>
      </w:r>
    </w:p>
    <w:p>
      <w:r>
        <w:t xml:space="preserve">(3) Die Anzeigen nach den Absätzen 1 und 2 sind Steuererklärungen im Sinne der Abgabenordnung, die den Finanzbehörden nach amtlich vorgeschriebenem Datensatz über die amtlich bestimmte Schnittstelle elektronisch zu übermitteln sind. Die Anzeigen sind bei dem für die Festsetzung des Steuermessbetrags zuständigen Finanzamt bis zum 31. März des Jahres zu erstatten, das auf das Kalenderjahr der Änderung nach Absatz 1 oder das Kalenderjahr des Wegfalls der Voraussetzungen nach Absatz 2 folgt. Auf Antrag kann die zuständige Finanzbehörde zur Vermeidung unbilliger Härten auf eine elektronische Übermittlung verzichten; in diesem Fall ist die Anzeige nach amtlich vorgeschriebenem Vordruck abzugeben und eigenhändig zu unterschreiben. Für die Entscheidung über den Antrag gilt § 150 Absatz 8 der Abgabenordnung.</w:t>
      </w:r>
    </w:p>
    <w:p>
      <w:r>
        <w:rPr>
          <w:color w:val="555555"/>
          <w:sz w:val="17"/>
        </w:rPr>
        <w:t xml:space="preserve">Zitiervorschlag: § 19 GrStG 1973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