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GrStG 1973 — Nachveranlagung</w:t>
      </w:r>
    </w:p>
    <w:p>
      <w:r>
        <w:rPr>
          <w:color w:val="555555"/>
          <w:sz w:val="18"/>
        </w:rPr>
        <w:t xml:space="preserve">Grundsteuergesetz</w:t>
      </w:r>
    </w:p>
    <w:p>
      <w:r>
        <w:rPr>
          <w:color w:val="555555"/>
          <w:sz w:val="18"/>
        </w:rPr>
        <w:t xml:space="preserve">Stand: 25.01.2021 (konsolidierte Textfassung, kein amtliches Inkrafttretensdatum)</w:t>
      </w:r>
    </w:p>
    <w:p>
      <w:r>
        <w:t xml:space="preserve">(1) Wird eine Nachfeststellung (§ 223 Absatz 1 des Bewertungsgesetzes) durchgeführt, so wird der Steuermeßbetrag auf den Nachfeststellungszeitpunkt nachträglich festgesetzt (Nachveranlagung).</w:t>
      </w:r>
    </w:p>
    <w:p>
      <w:r>
        <w:t xml:space="preserve">(2) Der Steuermeßbetrag wird auch dann nachträglich festgesetzt, wenn der Grund für die Befreiung des Steuergegenstandes von der Grundsteuer wegfällt, der für die Berechnung der Grundsteuer maßgebende Grundsteuerwert (§ 13 Abs. 1) aber bereits festgestellt ist.</w:t>
      </w:r>
    </w:p>
    <w:p>
      <w:r>
        <w:t xml:space="preserve">(3) Der Nachveranlagung werden die Verhältnisse im Nachveranlagungszeitpunkt zugrunde gelegt. Nachveranlagungszeitpunkt ist</w:t>
      </w:r>
    </w:p>
    <w:p>
      <w:pPr>
        <w:ind w:left="420"/>
      </w:pPr>
      <w:r>
        <w:t xml:space="preserve">1. in den Fällen des Absatzes 1 der Beginn des Kalenderjahres, auf den der Grundsteuerwert nachträglich festgestellt wird;</w:t>
      </w:r>
    </w:p>
    <w:p>
      <w:pPr>
        <w:ind w:left="420"/>
      </w:pPr>
      <w:r>
        <w:t xml:space="preserve">2. in den Fällen des Absatzes 2 der Beginn des Kalenderjahres, der auf den Wegfall des Befreiungsgrundes folgt. § 16 Abs. 3 ist entsprechend anzuwenden.</w:t>
      </w:r>
    </w:p>
    <w:p>
      <w:r>
        <w:t xml:space="preserve">(4) Treten die Voraussetzungen für eine Nachveranlagung während des Zeitraums zwischen dem Hauptveranlagungszeitpunkt und dem Zeitpunkt des Wirksamwerdens der Steuermeßbeträge (§ 16 Abs. 2) ein, so wird die Nachveranlagung auf den Zeitpunkt des Wirksamwerdens der Steuermeßbeträge vorgenommen.</w:t>
      </w:r>
    </w:p>
    <w:p>
      <w:r>
        <w:rPr>
          <w:color w:val="555555"/>
          <w:sz w:val="17"/>
        </w:rPr>
        <w:t xml:space="preserve">Zitiervorschlag: § 18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