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GrStG 1973 — Neuveranlagung</w:t>
      </w:r>
    </w:p>
    <w:p>
      <w:r>
        <w:rPr>
          <w:color w:val="555555"/>
          <w:sz w:val="18"/>
        </w:rPr>
        <w:t xml:space="preserve">Grundsteuergesetz</w:t>
      </w:r>
    </w:p>
    <w:p>
      <w:r>
        <w:rPr>
          <w:color w:val="555555"/>
          <w:sz w:val="18"/>
        </w:rPr>
        <w:t xml:space="preserve">Stand: 25.01.2021 (konsolidierte Textfassung, kein amtliches Inkrafttretensdatum)</w:t>
      </w:r>
    </w:p>
    <w:p>
      <w:r>
        <w:t xml:space="preserve">(1) Wird eine Wertfortschreibung (§ 222 Absatz 1 des Bewertungsgesetzes) oder eine Artfortschreibung oder Zurechnungsfortschreibung (§ 222 Absatz 2 des Bewertungsgesetzes) durchgeführt, so wird der Steuermeßbetrag auf den Fortschreibungszeitpunkt neu festgesetzt (Neuveranlagung).</w:t>
      </w:r>
    </w:p>
    <w:p>
      <w:r>
        <w:t xml:space="preserve">(2) Der Steuermeßbetrag wird auch dann neu festgesetzt, wenn dem Finanzamt bekannt wird, daß</w:t>
      </w:r>
    </w:p>
    <w:p>
      <w:pPr>
        <w:ind w:left="420"/>
      </w:pPr>
      <w:r>
        <w:t xml:space="preserve">1. Gründe, die im Feststellungsverfahren über den Grundsteuerwert nicht zu berücksichtigen sind, zu einem anderen als dem für den letzten Veranlagungszeitpunkt festgesetzten Steuermeßbetrag führen oder</w:t>
      </w:r>
    </w:p>
    <w:p>
      <w:pPr>
        <w:ind w:left="420"/>
      </w:pPr>
      <w:r>
        <w:t xml:space="preserve">2. die letzte Veranlagung fehlerhaft ist; § 176 der Abgabenordnung ist hierbei entsprechend anzuwenden; das gilt jedoch nur für Veranlagungszeitpunkte, die vor der Verkündung der maßgeblichen Entscheidung eines obersten Gerichts des Bundes liegen.</w:t>
      </w:r>
    </w:p>
    <w:p>
      <w:r>
        <w:t xml:space="preserve">(3) Der Neuveranlagung werden die Verhältnisse im Neuveranlagungszeitpunkt zugrunde gelegt. Neuveranlagungszeitpunkt ist</w:t>
      </w:r>
    </w:p>
    <w:p>
      <w:pPr>
        <w:ind w:left="420"/>
      </w:pPr>
      <w:r>
        <w:t xml:space="preserve">1. in den Fällen des Absatzes 1 der Beginn des Kalenderjahres, auf den die Fortschreibung durchgeführt wird;</w:t>
      </w:r>
    </w:p>
    <w:p>
      <w:pPr>
        <w:ind w:left="420"/>
      </w:pPr>
      <w:r>
        <w:t xml:space="preserve">2. in den Fällen des Absatzes 2 Nr. 1 der Beginn des Kalenderjahres, auf den sich erstmals ein abweichender Steuermeßbetrag ergibt. § 16 Abs. 3 ist entsprechend anzuwenden;</w:t>
      </w:r>
    </w:p>
    <w:p>
      <w:pPr>
        <w:ind w:left="420"/>
      </w:pPr>
      <w:r>
        <w:t xml:space="preserve">3. in den Fällen des Absatzes 2 Nr. 2 der Beginn des Kalenderjahres, in dem der Fehler dem Finanzamt bekannt wird, bei einer Erhöhung des Steuermeßbetrags jedoch frühestens der Beginn des Kalenderjahres, in dem der Steuermeßbescheid erteilt wird.</w:t>
      </w:r>
    </w:p>
    <w:p>
      <w:r>
        <w:t xml:space="preserve">(4) Treten die Voraussetzungen für eine Neuveranlagung während des Zeitraums zwischen dem Hauptveranlagungszeitpunkt und dem Zeitpunkt des Wirksamwerdens der Steuermeßbeträge (§ 16 Abs. 2) ein, so wird die Neuveranlagung auf den Zeitpunkt des Wirksamwerdens der Steuermeßbeträge vorgenommen.</w:t>
      </w:r>
    </w:p>
    <w:p>
      <w:r>
        <w:rPr>
          <w:color w:val="555555"/>
          <w:sz w:val="17"/>
        </w:rPr>
        <w:t xml:space="preserve">Zitiervorschlag: § 17 GrStG 1973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https://recht.nulegal.eu/gesetze/GrStG%201973/17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GrStG 1973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