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GrStG 1973 — Steuermeßzahl für Betriebe der Land- und Forstwirtschaft</w:t>
      </w:r>
    </w:p>
    <w:p>
      <w:r>
        <w:rPr>
          <w:color w:val="555555"/>
          <w:sz w:val="18"/>
        </w:rPr>
        <w:t xml:space="preserve">Grundsteuergesetz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Für Betriebe der Land- und Forstwirtschaft beträgt die Steuermeßzahl 0,55 Promille.</w:t>
      </w:r>
    </w:p>
    <w:p>
      <w:r>
        <w:rPr>
          <w:color w:val="555555"/>
          <w:sz w:val="17"/>
        </w:rPr>
        <w:t xml:space="preserve">Zitiervorschlag: § 14 GrStG 1973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https://recht.nulegal.eu/gesetze/GrStG%201973/14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