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GrStG 1973 — Persönliche Haftung</w:t>
      </w:r>
    </w:p>
    <w:p>
      <w:r>
        <w:rPr>
          <w:color w:val="555555"/>
          <w:sz w:val="18"/>
        </w:rPr>
        <w:t xml:space="preserve">Grundsteuergesetz</w:t>
      </w:r>
    </w:p>
    <w:p>
      <w:r>
        <w:rPr>
          <w:color w:val="555555"/>
          <w:sz w:val="18"/>
        </w:rPr>
        <w:t xml:space="preserve">Stand: 10.06.2019 (konsolidierte Textfassung, kein amtliches Inkrafttretensdatum)</w:t>
      </w:r>
    </w:p>
    <w:p>
      <w:r>
        <w:t xml:space="preserve">(1) Neben dem Steuerschuldner haften der Nießbraucher des Steuergegenstandes und derjenige, dem ein dem Nießbrauch ähnliches Recht zusteht.</w:t>
      </w:r>
    </w:p>
    <w:p>
      <w:r>
        <w:t xml:space="preserve">(2) Wird ein Steuergegenstand ganz oder zu einem Teil einer anderen Person übereignet, so haftet der Erwerber neben dem früheren Eigentümer für die auf den Steuergegenstand oder Teil des Steuergegenstandes entfallende Grundsteuer, die für die Zeit seit dem Beginn des letzten vor der Übereignung liegenden Kalenderjahres zu entrichten ist. Das gilt nicht für Erwerbe aus einer Insolvenzmasse und für Erwerbe im Vollstreckungsverfahren.</w:t>
      </w:r>
    </w:p>
    <w:p>
      <w:r>
        <w:rPr>
          <w:color w:val="555555"/>
          <w:sz w:val="17"/>
        </w:rPr>
        <w:t xml:space="preserve">Zitiervorschlag: § 11 GrStG 1973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https://recht.nulegal.eu/gesetze/GrStG%201973/11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GrStG 1973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