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GrStG 1973 — Heberecht</w:t>
      </w:r>
    </w:p>
    <w:p>
      <w:r>
        <w:rPr>
          <w:color w:val="555555"/>
          <w:sz w:val="18"/>
        </w:rPr>
        <w:t xml:space="preserve">Grundsteuergesetz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Gemeinde bestimmt, ob von dem in ihrem Gebiet liegenden Grundbesitz Grundsteuer zu erheben ist.</w:t>
      </w:r>
    </w:p>
    <w:p>
      <w:r>
        <w:t xml:space="preserve">(2) Bestehen in einem Land keine Gemeinden, so stehen das Recht des Absatzes 1 und die in diesem Gesetz bestimmten weiteren Rechte dem Land zu.</w:t>
      </w:r>
    </w:p>
    <w:p>
      <w:r>
        <w:t xml:space="preserve">(3) Für den in gemeindefreien Gebieten liegenden Grundbesitz bestimmt die Landesregierung durch Rechtsverordnung, wer die nach diesem Gesetz den Gemeinden zustehenden Befugnisse ausübt.</w:t>
      </w:r>
    </w:p>
    <w:p>
      <w:r>
        <w:rPr>
          <w:color w:val="555555"/>
          <w:sz w:val="17"/>
        </w:rPr>
        <w:t xml:space="preserve">Zitiervorschlag: § 1 GrStG 1973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https://recht.nulegal.eu/gesetze/GrStG%201973/1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