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GrStAnerkV (Bayern)</w:t>
      </w:r>
    </w:p>
    <w:p>
      <w:r>
        <w:rPr>
          <w:color w:val="555555"/>
          <w:sz w:val="18"/>
        </w:rPr>
        <w:t xml:space="preserve">Grundsteuer-Anerkennungsverordnung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§ 4 Nr. 5, § 5 Abs. 1 Nr. 2 und § 32 Abs. 2 Satz 2 des Grundsteuergesetzes (GrStG) sowie Art. 55 Nr. 2 der Verfassung erläßt die Bayerische Staatsregierung folgende Verordnung:</w:t>
      </w:r>
    </w:p>
    <w:p>
      <w:r>
        <w:rPr>
          <w:color w:val="555555"/>
          <w:sz w:val="17"/>
        </w:rPr>
        <w:t xml:space="preserve">Zitiervorschlag: Eingangsformel GrStAnerkV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https://recht.nulegal.eu/gesetze/GrStAnerkV/eingangsformel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