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GrStAnerkV (Bayern)</w:t>
      </w:r>
    </w:p>
    <w:p>
      <w:r>
        <w:rPr>
          <w:color w:val="555555"/>
          <w:sz w:val="18"/>
        </w:rPr>
        <w:t xml:space="preserve">Grundsteuer-Anerkennungsverordnung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Anerkennung der wissenschaftlichen, künstlerischen oder geschichtlichen Bedeutung von Gegenständen, insbesondere Sammlungen oder Bibliotheken, die in Gebäuden untergebracht und dem Zweck der Forschung oder Volksbildung nutzbar gemacht sind (§ 32 Abs. 2 GrStG), erteilt die zuständige Regierung. Der Antrag ist bei der grundsteuerhebeberechtigten Gemeinde zu stellen; dabei ist anzugeben</w:t>
      </w:r>
    </w:p>
    <w:p>
      <w:r>
        <w:t xml:space="preserve">1. der Grundbesitz, für den der Erlaß der Steuer beantragt wird,</w:t>
      </w:r>
    </w:p>
    <w:p>
      <w:r>
        <w:t xml:space="preserve">2. der Steuerschuldner (§ 10 GrStG),</w:t>
      </w:r>
    </w:p>
    <w:p>
      <w:r>
        <w:t xml:space="preserve">3. die Gebäude, in denen Gegenstände von wissenschaftlicher, künstlerischer oder geschichtlicher Bedeutung, insbesondere Sammlungen oder Bibliotheken, untergebracht sind,</w:t>
      </w:r>
    </w:p>
    <w:p>
      <w:r>
        <w:t xml:space="preserve">4. die Art der Gegenstände und ihre wissenschaftliche, künstlerische oder geschichtliche Bedeutung,</w:t>
      </w:r>
    </w:p>
    <w:p>
      <w:r>
        <w:t xml:space="preserve">5. der Zweck der Forschung oder die Nutzung zur Volksbildung.</w:t>
      </w:r>
    </w:p>
    <w:p>
      <w:r>
        <w:t xml:space="preserve">[Amtl. Anm.:] BGBl. FN 611-7</w:t>
      </w:r>
    </w:p>
    <w:p>
      <w:r>
        <w:rPr>
          <w:color w:val="555555"/>
          <w:sz w:val="17"/>
        </w:rPr>
        <w:t xml:space="preserve">Zitiervorschlag: § 3 GrStAnerkV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https://recht.nulegal.eu/gesetze/GrStAnerkV/3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