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GrStAnerkV (Bayern)</w:t>
      </w:r>
    </w:p>
    <w:p>
      <w:r>
        <w:rPr>
          <w:color w:val="555555"/>
          <w:sz w:val="18"/>
        </w:rPr>
        <w:t xml:space="preserve">Grundsteuer-Anerkennungsverordnung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den Fällen des § 5 Abs. 1 Nr. 2 GrStG kann eine Einzelanerkennung durch das Bayerische Landesamt für Steuern im Einvernehmen mit der zuständigen Regierung erfolgen. Der Antrag ist bei dem Belegenheitsfinanzamt einzureichen; dabei ist anzugeben</w:t>
      </w:r>
    </w:p>
    <w:p>
      <w:r>
        <w:t xml:space="preserve">1. der Steuerschuldner (§ 10 GrStG),</w:t>
      </w:r>
    </w:p>
    <w:p>
      <w:r>
        <w:t xml:space="preserve">2. die Art des Heimes oder des Seminars,</w:t>
      </w:r>
    </w:p>
    <w:p>
      <w:r>
        <w:t xml:space="preserve">3. der Träger des Heimes oder des Seminars,</w:t>
      </w:r>
    </w:p>
    <w:p>
      <w:r>
        <w:t xml:space="preserve">4. die Anzahl der im Heim oder Seminar untergebrachten Schüler, Jugendlichen, Studierenden oder sonstigen Personen, die eine berufliche Bildungseinrichtung besuchen,</w:t>
      </w:r>
    </w:p>
    <w:p>
      <w:r>
        <w:t xml:space="preserve">5. die Anzahl der Lehrkräfte oder der Aufsichtspersonen.</w:t>
      </w:r>
    </w:p>
    <w:p>
      <w:r>
        <w:t xml:space="preserve">[Amtl. Anm.:] BGBl. FN 611-7</w:t>
      </w:r>
    </w:p>
    <w:p>
      <w:r>
        <w:rPr>
          <w:color w:val="555555"/>
          <w:sz w:val="17"/>
        </w:rPr>
        <w:t xml:space="preserve">Zitiervorschlag: § 2 GrStAnerkV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https://recht.nulegal.eu/gesetze/GrStAnerkV/2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