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GrPfREuroV — Inkrafttreten</w:t>
      </w:r>
    </w:p>
    <w:p>
      <w:r>
        <w:rPr>
          <w:color w:val="555555"/>
          <w:sz w:val="18"/>
        </w:rPr>
        <w:t xml:space="preserve">Verordnung über Grundpfandrechte in ausländischer Währung und in Euro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Ausnahme von § 1 Nr. 1 am Tage nach der Verkündung in Kraft. § 1 Nr. 1 tritt an dem Tage in Kraft, ab dem die Bundesrepublik Deutschland an der dritten Stufe der Währungsunion gemäß Artikel 109j des EG-Vertrages teilnimmt; dieser Tag ist im Bundesgesetzblatt bekanntzugeben.</w:t>
      </w:r>
    </w:p>
    <w:p>
      <w:r>
        <w:rPr>
          <w:color w:val="555555"/>
          <w:sz w:val="17"/>
        </w:rPr>
        <w:t xml:space="preserve">Zitiervorschlag: § 4 GrPfREuroV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https://recht.nulegal.eu/gesetze/GrPfREuroV/4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