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GrPfREuroV — Reallasten</w:t>
      </w:r>
    </w:p>
    <w:p>
      <w:r>
        <w:rPr>
          <w:color w:val="555555"/>
          <w:sz w:val="18"/>
        </w:rPr>
        <w:t xml:space="preserve">Verordnung über Grundpfandrechte in ausländischer Währung und in Euro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vorstehenden Vorschriften sind auf Reallasten entsprechend anzuwenden.</w:t>
      </w:r>
    </w:p>
    <w:p>
      <w:r>
        <w:rPr>
          <w:color w:val="555555"/>
          <w:sz w:val="17"/>
        </w:rPr>
        <w:t xml:space="preserve">Zitiervorschlag: § 3 GrPfREuroV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https://recht.nulegal.eu/gesetze/GrPfREuroV/3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