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GrPfREuroV — Zulassung des Euro und ausländischer Währungen für Grundpfandrechte</w:t>
      </w:r>
    </w:p>
    <w:p>
      <w:r>
        <w:rPr>
          <w:color w:val="555555"/>
          <w:sz w:val="18"/>
        </w:rPr>
        <w:t xml:space="preserve">Verordnung über Grundpfandrechte in ausländischer Währung und in Euro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Geldbeträge von Hypotheken, Grundschulden und Rentenschulden können auch in der Währung</w:t>
      </w:r>
    </w:p>
    <w:p>
      <w:pPr>
        <w:ind w:left="420"/>
      </w:pPr>
      <w:r>
        <w:t xml:space="preserve">1. Euro,</w:t>
      </w:r>
    </w:p>
    <w:p>
      <w:pPr>
        <w:ind w:left="420"/>
      </w:pPr>
      <w:r>
        <w:t xml:space="preserve">2. eines der Mitgliedstaaten der Europäischen Union,</w:t>
      </w:r>
    </w:p>
    <w:p>
      <w:pPr>
        <w:ind w:left="420"/>
      </w:pPr>
      <w:r>
        <w:t xml:space="preserve">3. der Schweizerischen Eidgenossenschaft,</w:t>
      </w:r>
    </w:p>
    <w:p>
      <w:pPr>
        <w:ind w:left="420"/>
      </w:pPr>
      <w:r>
        <w:t xml:space="preserve">4. der Vereinigten Staaten von Amerika</w:t>
      </w:r>
    </w:p>
    <w:p>
      <w:r>
        <w:t xml:space="preserve">angegeben werden.</w:t>
      </w:r>
    </w:p>
    <w:p>
      <w:r>
        <w:rPr>
          <w:color w:val="555555"/>
          <w:sz w:val="17"/>
        </w:rPr>
        <w:t xml:space="preserve">Zitiervorschlag: § 1 GrPfREuroV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https://recht.nulegal.eu/gesetze/GrPfREuroV/1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