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GrKrV (Bayern)</w:t>
      </w:r>
    </w:p>
    <w:p>
      <w:r>
        <w:rPr>
          <w:color w:val="555555"/>
          <w:sz w:val="18"/>
        </w:rPr>
        <w:t xml:space="preserve">Große Kreisstädteverordnung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9 Abs. 2 Satz 1 der Gemeindeordnung und des § 36 Abs. 2 Satz 1 des Gesetzes über Ordnungswidrigkeiten erläßt die Bayerische Staatsregierung folgende Verordnung:</w:t>
      </w:r>
    </w:p>
    <w:p>
      <w:r>
        <w:rPr>
          <w:color w:val="555555"/>
          <w:sz w:val="17"/>
        </w:rPr>
        <w:t xml:space="preserve">Zitiervorschlag: Eingangsformel GrKrV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https://recht.nulegal.eu/gesetze/GrKrV/eingangsformel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