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GrKrV (Bayern) — Aufgaben</w:t>
      </w:r>
    </w:p>
    <w:p>
      <w:r>
        <w:rPr>
          <w:color w:val="555555"/>
          <w:sz w:val="18"/>
        </w:rPr>
        <w:t xml:space="preserve">Große Kreisstädteverordnung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Großen Kreisstädte erfüllen im übertragenen Wirkungskreis die sonst von den Landratsämtern wahrgenommenen Aufgaben</w:t>
      </w:r>
    </w:p>
    <w:p>
      <w:r>
        <w:t xml:space="preserve">1. der unteren Bauaufsichtsbehörde,</w:t>
      </w:r>
    </w:p>
    <w:p>
      <w:r>
        <w:t xml:space="preserve">2. der unteren Straßenverkehrsbehörde,</w:t>
      </w:r>
    </w:p>
    <w:p>
      <w:r>
        <w:t xml:space="preserve">3. zum Vollzug</w:t>
      </w:r>
    </w:p>
    <w:p>
      <w:r>
        <w:t xml:space="preserve">a) des Gaststättengesetzes und der Bayerischen Gaststättenverordnung,</w:t>
      </w:r>
    </w:p>
    <w:p>
      <w:r>
        <w:t xml:space="preserve">b) der §§ 33a und 33i der Gewerbeordnung (GewO) sowie des § 15 Abs. 2 Satz 1 GewO, soweit sich diese Vorschrift auf Gewerbebetriebe bezieht, die den Vorschriften der §§ 33a und 33i GewO unterliegen,</w:t>
      </w:r>
    </w:p>
    <w:p>
      <w:r>
        <w:t xml:space="preserve">c) des Bestattungsgesetzes und der Bestattungsverordnung,</w:t>
      </w:r>
    </w:p>
    <w:p>
      <w:r>
        <w:t xml:space="preserve">d) des Art. 19 Abs. 3 und 5 des Landesstraf- und Verordnungsgesetzes,</w:t>
      </w:r>
    </w:p>
    <w:p>
      <w:r>
        <w:t xml:space="preserve">e) des Prostituiertenschutzgesetzes,</w:t>
      </w:r>
    </w:p>
    <w:p>
      <w:r>
        <w:t xml:space="preserve">4. nach Art. 63 des Bayerischen Wassergesetzes (BayWG) in Verfahren</w:t>
      </w:r>
    </w:p>
    <w:p>
      <w:r>
        <w:t xml:space="preserve">a) über eine Erlaubnis nach § 10 in Verbindung mit § 15 des Wasserhaushaltsgesetzes (WHG) sowie den Art. 15 und 70 BayWG für das Einleiten von Abwasser aus Kleinkläranlagen mit einem Anfall häuslicher Abwässer bis zu 8 m 3 je Tag und von Niederschlagswasser, soweit die Einleitung nicht nach § 7 Abs. 1 in Verbindung mit § 10 Abs. 1 Nr. 4 des Abwasserabgabengesetzes abgabepflichtig ist,</w:t>
      </w:r>
    </w:p>
    <w:p>
      <w:r>
        <w:t xml:space="preserve">b) nach § 78 Abs. 5 WHG,</w:t>
      </w:r>
    </w:p>
    <w:p>
      <w:r>
        <w:t xml:space="preserve">c) nach den §§ 100 und 101 WHG sowie den Art. 58 und 61 BayWG in den Fällen der Buchst. a und b,</w:t>
      </w:r>
    </w:p>
    <w:p>
      <w:r>
        <w:t xml:space="preserve">5. nach § 1 Abs. 3 Nr. 2 der Durchführungsverordnung Wohnungsrecht.</w:t>
      </w:r>
    </w:p>
    <w:p>
      <w:r>
        <w:rPr>
          <w:color w:val="555555"/>
          <w:sz w:val="17"/>
        </w:rPr>
        <w:t xml:space="preserve">Zitiervorschlag: § 2 GrKrV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https://recht.nulegal.eu/gesetze/GrKrV/2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