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GrImpfStRüV — Inkrafttreten, Außerkrafttreten</w:t>
      </w:r>
    </w:p>
    <w:p>
      <w:r>
        <w:rPr>
          <w:color w:val="555555"/>
          <w:sz w:val="18"/>
        </w:rPr>
        <w:t xml:space="preserve">Grippeimpfstoffrückerstattungsverordnung</w:t>
      </w:r>
    </w:p>
    <w:p>
      <w:r>
        <w:rPr>
          <w:color w:val="555555"/>
          <w:sz w:val="18"/>
        </w:rPr>
        <w:t xml:space="preserve">Historische Fassung: Stand 05.10.2021 bis 04.10.2022. Dies ist nicht die aktuelle Fassung.</w:t>
      </w:r>
    </w:p>
    <w:p>
      <w:r>
        <w:t xml:space="preserve">Diese Verordnung tritt am Tag nach der Verkündung in Kraft. Sie tritt am 4. Oktober 2022 außer Kraft.</w:t>
      </w:r>
    </w:p>
    <w:p>
      <w:r>
        <w:rPr>
          <w:color w:val="555555"/>
          <w:sz w:val="17"/>
        </w:rPr>
        <w:t xml:space="preserve">Zitiervorschlag: § 5 GrImpfStRüV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https://recht.nulegal.eu/gesetze/GrImpfStR%C3%BCV/5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