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GrImpfStRüV — Beleihung</w:t>
      </w:r>
    </w:p>
    <w:p>
      <w:r>
        <w:rPr>
          <w:color w:val="555555"/>
          <w:sz w:val="18"/>
        </w:rPr>
        <w:t xml:space="preserve">Grippeimpfstoffrückerstattungsverordnung</w:t>
      </w:r>
    </w:p>
    <w:p>
      <w:r>
        <w:rPr>
          <w:color w:val="555555"/>
          <w:sz w:val="18"/>
        </w:rPr>
        <w:t xml:space="preserve">Historische Fassung: Stand 05.10.2021 bis 04.10.2022. Dies ist nicht die aktuelle Fassung.</w:t>
      </w:r>
    </w:p>
    <w:p>
      <w:r>
        <w:t xml:space="preserve">Der Deutsche Apothekerverband e. V. nimmt die Aufgaben nach dieser Verordnung als Beliehener wahr. Das Nähere bestimmt das Bundesministerium für Gesundheit durch einen Beleihungsbescheid nach § 20a Absatz 1 Satz 1 und Absatz 2 Satz 2 des Apothekengesetzes.</w:t>
      </w:r>
    </w:p>
    <w:p>
      <w:r>
        <w:rPr>
          <w:color w:val="555555"/>
          <w:sz w:val="17"/>
        </w:rPr>
        <w:t xml:space="preserve">Zitiervorschlag: § 3 GrImpfStRüV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https://recht.nulegal.eu/gesetze/GrImpfStR%C3%BCV/3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