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GrFDV — Inkrafttreten</w:t>
      </w:r>
    </w:p>
    <w:p>
      <w:r>
        <w:rPr>
          <w:color w:val="555555"/>
          <w:sz w:val="18"/>
        </w:rPr>
        <w:t xml:space="preserve">Grenzfahndungsdatenverordnung</w:t>
      </w:r>
    </w:p>
    <w:p>
      <w:r>
        <w:rPr>
          <w:color w:val="555555"/>
          <w:sz w:val="18"/>
        </w:rPr>
        <w:t xml:space="preserve">Stand: 25.02.2023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GrFDV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https://recht.nulegal.eu/gesetze/GrFDV/4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