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GrFDV — Vorgangsdaten, Angaben zur Fahndungsnotierung</w:t>
      </w:r>
    </w:p>
    <w:p>
      <w:r>
        <w:rPr>
          <w:color w:val="555555"/>
          <w:sz w:val="18"/>
        </w:rPr>
        <w:t xml:space="preserve">Grenzfahndungsdatenverordnung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Zu personenbezogenen Daten im Sinne von § 30 Absatz 1 Satz 1 und § 31 Absatz 1 Satz 1 des Bundespolizeigesetzes können insbesondere folgende Vorgangsdaten und Angaben zur Fahndungsnotierung verarbeitet werden</w:t>
      </w:r>
    </w:p>
    <w:p>
      <w:pPr>
        <w:ind w:left="420"/>
      </w:pPr>
      <w:r>
        <w:t xml:space="preserve">1. Erfassungsdatum und Löschdatum,</w:t>
      </w:r>
    </w:p>
    <w:p>
      <w:pPr>
        <w:ind w:left="420"/>
      </w:pPr>
      <w:r>
        <w:t xml:space="preserve">2. Aktenzeichen,</w:t>
      </w:r>
    </w:p>
    <w:p>
      <w:pPr>
        <w:ind w:left="420"/>
      </w:pPr>
      <w:r>
        <w:t xml:space="preserve">3. Ausschreibungsbehörde,</w:t>
      </w:r>
    </w:p>
    <w:p>
      <w:pPr>
        <w:ind w:left="420"/>
      </w:pPr>
      <w:r>
        <w:t xml:space="preserve">4. Sachbearbeitende Dienststelle,</w:t>
      </w:r>
    </w:p>
    <w:p>
      <w:pPr>
        <w:ind w:left="420"/>
      </w:pPr>
      <w:r>
        <w:t xml:space="preserve">5. Anlass und Zweck der Ausschreibung,</w:t>
      </w:r>
    </w:p>
    <w:p>
      <w:pPr>
        <w:ind w:left="420"/>
      </w:pPr>
      <w:r>
        <w:t xml:space="preserve">6. Eingabedatum,</w:t>
      </w:r>
    </w:p>
    <w:p>
      <w:pPr>
        <w:ind w:left="420"/>
      </w:pPr>
      <w:r>
        <w:t xml:space="preserve">7. Löschungstermin bei Fristablauf.</w:t>
      </w:r>
    </w:p>
    <w:p>
      <w:r>
        <w:rPr>
          <w:color w:val="555555"/>
          <w:sz w:val="17"/>
        </w:rPr>
        <w:t xml:space="preserve">Zitiervorschlag: § 3 GrFDV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https://recht.nulegal.eu/gesetze/GrFDV/3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