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GrEStG 1983 — Grundsatz</w:t>
      </w:r>
    </w:p>
    <w:p>
      <w:r>
        <w:rPr>
          <w:color w:val="555555"/>
          <w:sz w:val="18"/>
        </w:rPr>
        <w:t xml:space="preserve">Grunderwerbsteuergesetz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Die Steuer bemißt sich nach dem Wert der Gegenleistung.</w:t>
      </w:r>
    </w:p>
    <w:p>
      <w:r>
        <w:t xml:space="preserve">(2) Die Steuer wird nach den Grundbesitzwerten im Sinne des § 151 Absatz 1 Satz 1 Nummer 1 in Verbindung mit § 157 Absatz 1 bis 3 des Bewertungsgesetzes bemessen:</w:t>
      </w:r>
    </w:p>
    <w:p>
      <w:pPr>
        <w:ind w:left="420"/>
      </w:pPr>
      <w:r>
        <w:t xml:space="preserve">1. wenn eine Gegenleistung nicht vorhanden oder nicht zu ermitteln ist;</w:t>
      </w:r>
    </w:p>
    <w:p>
      <w:pPr>
        <w:ind w:left="420"/>
      </w:pPr>
      <w:r>
        <w:t xml:space="preserve">2. bei Umwandlungen auf Grund eines Bundes- oder Landesgesetzes, bei Einbringungen sowie bei anderen Erwerbsvorgängen auf gesellschaftsvertraglicher Grundlage;</w:t>
      </w:r>
    </w:p>
    <w:p>
      <w:pPr>
        <w:ind w:left="420"/>
      </w:pPr>
      <w:r>
        <w:t xml:space="preserve">3. in den Fällen des § 1 Absatz 2a bis 3a;</w:t>
      </w:r>
    </w:p>
    <w:p>
      <w:pPr>
        <w:ind w:left="420"/>
      </w:pPr>
      <w:r>
        <w:t xml:space="preserve">4. wenn zwischen den an einer Umwandlung beteiligten Rechtsträgern innerhalb des Rückwirkungszeitraums im Sinne der §§ 2, 20 Absatz 6 oder § 24 Absatz 4 des Umwandlungssteuergesetzes ein Erwerbsvorgang nach § 1 Absatz 1 Nummer 1 verwirklicht wird, der Wert der Gegenleistung geringer ist als der Grundbesitzwert nach § 151 Absatz 1 Satz 1 Nummer 1 in Verbindung mit § 157 Absatz 1 bis 3 des Bewertungsgesetzes und die Umwandlung ohne diesen Erwerbsvorgang eine Besteuerung nach § 1 Absatz 1 Nummer 3, Absatz 3 oder Absatz 3a ausgelöst hätte.</w:t>
      </w:r>
    </w:p>
    <w:p>
      <w:r>
        <w:t xml:space="preserve">Erstreckt sich der Erwerbsvorgang im Sinne des § 1 Absatz 1, 2, 3 oder 3a auf ein noch zu errichtendes Gebäude, ist der Wert des Grundstücks abweichend von § 157 Absatz 1 Satz 1 des Bewertungsgesetzes nach den tatsächlichen Verhältnissen im Zeitpunkt der Fertigstellung des Gebäudes maßgebend. Dies gilt ebenso, wenn die Änderung des Gesellschafterbestandes im Sinne des § 1 Absatz 2a oder 2b oder das Rechtsgeschäft oder der Anteilsübergang im Sinne des § 1 Absatz 3 oder 3a auf einem vorgefassten Plan zur Bebauung eines Grundstücks beruht.</w:t>
      </w:r>
    </w:p>
    <w:p>
      <w:r>
        <w:rPr>
          <w:color w:val="555555"/>
          <w:sz w:val="17"/>
        </w:rPr>
        <w:t xml:space="preserve">Zitiervorschlag: § 8 GrEStG 1983</w:t>
      </w:r>
    </w:p>
    <w:p>
      <w:r>
        <w:rPr>
          <w:color w:val="555555"/>
          <w:sz w:val="17"/>
        </w:rPr>
        <w:t xml:space="preserve">Quelle: Bundesamt für Justiz, abgerufen 03.07.2026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https://recht.nulegal.eu/gesetze/GrEStG%201983/8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GrEStG 1983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