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GrEStG 1983 — Rechtsfähige Personengesellschaften</w:t>
      </w:r>
    </w:p>
    <w:p>
      <w:r>
        <w:rPr>
          <w:color w:val="555555"/>
          <w:sz w:val="18"/>
        </w:rPr>
        <w:t xml:space="preserve">Grunderwerbsteuergesetz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Rechtsfähige Personengesellschaften (§ 14a Absatz 2 Nummer 2 der Abgabenordnung) gelten für Zwecke der Grunderwerbsteuer als Gesamthand und deren Vermögen als Gesamthandsvermögen.</w:t>
      </w:r>
    </w:p>
    <w:p>
      <w:r>
        <w:rPr>
          <w:color w:val="555555"/>
          <w:sz w:val="17"/>
        </w:rPr>
        <w:t xml:space="preserve">Zitiervorschlag: § 24 GrEStG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https://recht.nulegal.eu/gesetze/GrEStG%201983/24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