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GrEStG 1983 — Unbedenklichkeitsbescheinigung</w:t>
      </w:r>
    </w:p>
    <w:p>
      <w:r>
        <w:rPr>
          <w:color w:val="555555"/>
          <w:sz w:val="18"/>
        </w:rPr>
        <w:t xml:space="preserve">Grunderwerbsteuergesetz</w:t>
      </w:r>
    </w:p>
    <w:p>
      <w:r>
        <w:rPr>
          <w:color w:val="555555"/>
          <w:sz w:val="18"/>
        </w:rPr>
        <w:t xml:space="preserve">Stand: 10.06.2019 (konsolidierte Textfassung, kein amtliches Inkrafttretensdatum)</w:t>
      </w:r>
    </w:p>
    <w:p>
      <w:r>
        <w:t xml:space="preserve">(1) Der Erwerber eines Grundstücks darf in das Grundbuch erst dann eingetragen werden, wenn eine Bescheinigung des für die Besteuerung zuständigen Finanzamts vorgelegt wird (§ 17 Abs. 1 Satz 1) oder Bescheinigungen der für die Besteuerung zuständigen Finanzämter (§ 17 Abs. 1 Satz 2) vorgelegt werden, daß der Eintragung steuerliche Bedenken nicht entgegenstehen. Die obersten Finanzbehörden der Länder können im Einvernehmen mit den Landesjustizverwaltungen Ausnahmen hiervon vorsehen.</w:t>
      </w:r>
    </w:p>
    <w:p>
      <w:r>
        <w:t xml:space="preserve">(2) Das Finanzamt hat die Bescheinigung zu erteilen, wenn die Grunderwerbsteuer entrichtet, sichergestellt oder gestundet worden ist oder wenn Steuerfreiheit gegeben ist. Es darf die Bescheinigung auch in anderen Fällen erteilen, wenn nach seinem Ermessen die Steuerforderung nicht gefährdet ist. Das Finanzamt hat die Bescheinigung schriftlich zu erteilen. Eine elektronische Übermittlung der Bescheinigung ist ausgeschlossen.</w:t>
      </w:r>
    </w:p>
    <w:p>
      <w:r>
        <w:rPr>
          <w:color w:val="555555"/>
          <w:sz w:val="17"/>
        </w:rPr>
        <w:t xml:space="preserve">Zitiervorschlag: § 22 GrEStG 1983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https://recht.nulegal.eu/gesetze/GrEStG%201983/22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