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GrEStG 1983 — Anzeigepflicht der Gerichte, Behörden und Notare</w:t>
      </w:r>
    </w:p>
    <w:p>
      <w:r>
        <w:rPr>
          <w:color w:val="555555"/>
          <w:sz w:val="18"/>
        </w:rPr>
        <w:t xml:space="preserve">Grunderwerbsteuergesetz</w:t>
      </w:r>
    </w:p>
    <w:p>
      <w:r>
        <w:rPr>
          <w:color w:val="555555"/>
          <w:sz w:val="18"/>
        </w:rPr>
        <w:t xml:space="preserve">Stand: 20.12.2024 (konsolidierte Textfassung, kein amtliches Inkrafttretensdatum)</w:t>
      </w:r>
    </w:p>
    <w:p>
      <w:r>
        <w:t xml:space="preserve">(1) Gerichte, Behörden und Notare haben dem zuständigen Finanzamt schriftlich Anzeige nach amtlich vorgeschriebenem Vordruck zu erstatten über</w:t>
      </w:r>
    </w:p>
    <w:p>
      <w:pPr>
        <w:ind w:left="420"/>
      </w:pPr>
      <w:r>
        <w:t xml:space="preserve">1. Rechtsvorgänge, die sie beurkundet oder über die sie eine Urkunde entworfen und darauf eine Unterschrift beglaubigt haben, wenn die Rechtsvorgänge ein Grundstück im Geltungsbereich dieses Gesetzes betreffen;</w:t>
      </w:r>
    </w:p>
    <w:p>
      <w:pPr>
        <w:ind w:left="420"/>
      </w:pPr>
      <w:r>
        <w:t xml:space="preserve">2. Anträge auf Berichtigung des Grundbuchs, die sie beurkundet oder über die sie eine Urkunde entworfen und darauf eine Unterschrift beglaubigt haben, wenn der Antrag darauf gestützt wird, daß der Grundstückseigentümer gewechselt hat;</w:t>
      </w:r>
    </w:p>
    <w:p>
      <w:pPr>
        <w:ind w:left="420"/>
      </w:pPr>
      <w:r>
        <w:t xml:space="preserve">3. Zuschlagsbeschlüsse im Zwangsversteigerungsverfahren, Enteignungsbeschlüsse und andere Entscheidungen, durch die ein Wechsel im Grundstückseigentum bewirkt wird. Die Anzeigepflicht der Gerichte besteht auch beim Wechsel im Grundstückseigentum auf Grund einer Eintragung im Handels-, Genossenschafts- oder Vereinsregister;</w:t>
      </w:r>
    </w:p>
    <w:p>
      <w:pPr>
        <w:ind w:left="420"/>
      </w:pPr>
      <w:r>
        <w:t xml:space="preserve">4. nachträgliche Änderungen oder Berichtigungen eines der unter Nummern 1 bis 3 aufgeführten Vorgänge.</w:t>
      </w:r>
    </w:p>
    <w:p>
      <w:r>
        <w:t xml:space="preserve">Notare können die Anzeige nach Satz 1 auch elektronisch nach amtlich vorgeschriebenem Datensatz über die amtlich bestimmte Schnittstelle nach Maßgabe des § 93c der Abgabenordnung erstatten. Der Anzeige ist eine Abschrift der Urkunde über den Rechtsvorgang, den Antrag, den Beschluß oder die Entscheidung beizufügen.</w:t>
      </w:r>
    </w:p>
    <w:p>
      <w:r>
        <w:t xml:space="preserve">(2) Die Anzeigepflicht bezieht sich auch auf Vorgänge, die ein Erbbaurecht oder ein Gebäude auf fremdem Boden betreffen. Sie gilt außerdem für Vorgänge, die die Übertragung von Anteilen an einer Kapitalgesellschaft, einer Personenhandelsgesellschaft oder einer Gesellschaft des bürgerlichen Rechts betreffen, wenn zum Vermögen der Gesellschaft ein im Geltungsbereich dieses Gesetzes liegendes Grundstück gehört.</w:t>
      </w:r>
    </w:p>
    <w:p>
      <w:r>
        <w:t xml:space="preserve">(3) Die Anzeigen sind innerhalb von zwei Wochen nach der Beurkundung oder der Unterschriftsbeglaubigung oder der Bekanntgabe der Entscheidung zu erstatten, und zwar auch dann, wenn die Wirksamkeit des Rechtsvorgangs vom Eintritt einer Bedingung, vom Ablauf einer Frist oder von einer Genehmigung abhängig ist. Sie sind auch dann zu erstatten, wenn der Rechtsvorgang von der Besteuerung ausgenommen ist.</w:t>
      </w:r>
    </w:p>
    <w:p>
      <w:r>
        <w:t xml:space="preserve">(4) Die Absendung der Anzeige ist auf der Urschrift der Urkunde, in den Fällen, in denen eine Urkunde entworfen und darauf eine Unterschrift beglaubigt worden ist, auf der zurückbehaltenen beglaubigten Abschrift zu vermerken.</w:t>
      </w:r>
    </w:p>
    <w:p>
      <w:r>
        <w:t xml:space="preserve">(5) Die Anzeigen sind an das für die Besteuerung, in den Fällen des § 17 Abs. 2 und 3 an das für die gesonderte Feststellung zuständige Finanzamt zu richten.</w:t>
      </w:r>
    </w:p>
    <w:p>
      <w:r>
        <w:rPr>
          <w:color w:val="555555"/>
          <w:sz w:val="17"/>
        </w:rPr>
        <w:t xml:space="preserve">Zitiervorschlag: § 18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https://recht.nulegal.eu/gesetze/GrEStG%201983/18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