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 GrBrückVtr2000CZEG</w:t>
      </w:r>
    </w:p>
    <w:p>
      <w:r>
        <w:rPr>
          <w:color w:val="555555"/>
          <w:sz w:val="18"/>
        </w:rPr>
        <w:t xml:space="preserve">Gesetz zu dem Vertrag vom 12. September 2000 zwischen der Bundesrepublik Deutschland und der Tschechischen Republik über den Zusammenschluss der deutschen Autobahn A 17 und der tschechischen Autobahn D 8 an der gemeinsamen Staatsgrenze durch Errichtung einer Grenzbrücke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Dieses Gesetz tritt am Tage nach seiner Verkündung in Kraft.</w:t>
      </w:r>
    </w:p>
    <w:p>
      <w:r>
        <w:t xml:space="preserve">(2) Der Tag, an dem der Vertrag nach seinem Artikel 15 Abs. 2 in Kraft tritt, ist im Bundesgesetzblatt bekannt zu geben.</w:t>
      </w:r>
    </w:p>
    <w:p>
      <w:r>
        <w:rPr>
          <w:color w:val="555555"/>
          <w:sz w:val="17"/>
        </w:rPr>
        <w:t xml:space="preserve">Zitiervorschlag: Art 3 GrBrückVtr2000CZEG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https://recht.nulegal.eu/gesetze/GrBr%C3%BCckVtr2000CZEG/3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