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GrBiBFSV (Brandenburg) — Aufnahme</w:t>
      </w:r>
    </w:p>
    <w:p>
      <w:r>
        <w:rPr>
          <w:color w:val="555555"/>
          <w:sz w:val="18"/>
        </w:rPr>
        <w:t xml:space="preserve">Berufsgrundbildungsverordnung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Schülerinnen und Schüler besuchen in der Regel das für ihre Wohnung oder den gewöhnlichen Aufenthalt zuständige Oberstufenzentrum. Bei Erschöpfung der Aufnahmekapazität erfolgt durch das staatliche Schulamt eine Zuweisung gemäß § 50 Absatz 4 des Brandenburgischen Schulgesetzes.</w:t>
      </w:r>
    </w:p>
    <w:p>
      <w:r>
        <w:t xml:space="preserve">(2) Im Ausnahmefall kann das staatliche Schulamt gemäß § 106 Absatz 4 des Brandenburgischen Schulgesetzes den Besuch eines anderen Oberstufenzentrums gestatten, insbesondere wenn</w:t>
      </w:r>
    </w:p>
    <w:p>
      <w:r>
        <w:t xml:space="preserve">das zuständige Oberstufenzentrum nur unter besonderen Schwierigkeiten erreicht werden kann,</w:t>
      </w:r>
    </w:p>
    <w:p>
      <w:r>
        <w:t xml:space="preserve">gewichtige pädagogische Gründe hierfür sprechen oder</w:t>
      </w:r>
    </w:p>
    <w:p>
      <w:r>
        <w:t xml:space="preserve">besondere soziale Gründe vorliegen und</w:t>
      </w:r>
    </w:p>
    <w:p>
      <w:r>
        <w:t xml:space="preserve">die Aufnahmekapazität des anderen Oberstufenzentrums nicht erschöpft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GrBiBFSV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https://recht.nulegal.eu/gesetze/GrBiBFSV/5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