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GrBiBFSV (Brandenburg) — Aufnahmevoraussetzungen</w:t>
      </w:r>
    </w:p>
    <w:p>
      <w:r>
        <w:rPr>
          <w:color w:val="555555"/>
          <w:sz w:val="18"/>
        </w:rPr>
        <w:t xml:space="preserve">Berufsgrundbildungsverordnung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den Bildungsgang gemäß § 1 Absatz 1 wird aufgenommen, wer</w:t>
      </w:r>
    </w:p>
    <w:p>
      <w:r>
        <w:t xml:space="preserve">im Land Brandenburg berufsschulpflichtig ist und</w:t>
      </w:r>
    </w:p>
    <w:p>
      <w:r>
        <w:t xml:space="preserve">zum Zeitpunkt des Beginns des Unterrichts in diesem Bildungsgang keinen vollzeitschulischen weiterführenden Bildungsgang und keinen Bildungsgang der Berufsschule besucht.</w:t>
      </w:r>
    </w:p>
    <w:p>
      <w:r>
        <w:t xml:space="preserve">(2) In den Bildungsgang gemäß § 1 Absatz 2 wird aufgenommen, wer</w:t>
      </w:r>
    </w:p>
    <w:p>
      <w:r>
        <w:t xml:space="preserve">im Land Brandenburg berufsschulpflichtig ist,</w:t>
      </w:r>
    </w:p>
    <w:p>
      <w:r>
        <w:t xml:space="preserve">zum Zeitpunkt des Beginns des Unterrichts in diesem Bildungsgang keinen vollzeitschulischen weiterführenden Bildungsgang und keinen Bildungsgang der Berufsschule besucht und</w:t>
      </w:r>
    </w:p>
    <w:p>
      <w:r>
        <w:t xml:space="preserve">über keine ausreichenden Deutschkenntnisse verfügt.</w:t>
      </w:r>
    </w:p>
    <w:p>
      <w:r>
        <w:t xml:space="preserve">(3) Treten die Voraussetzungen gemäß den Absätzen 1 und 2 für einzelne Schülerinnen oder Schüler im Verlauf des Schuljahres auf, erfolgt die Aufnahme zu diesem Zeitpunkt. Für den Bildungsgang gemäß § 1 Absatz 2 betrifft diese Möglichkeit nur das erste Schuljahr.</w:t>
      </w:r>
    </w:p>
    <w:p>
      <w:r>
        <w:t xml:space="preserve">(4) Abweichend von Absatz 1 Nummer 1 und Absatz 2 Nummer 1 ist eine Aufnahme nur nach Maßgabe freier Plätze möglich.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GrBiBFSV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https://recht.nulegal.eu/gesetze/GrBiBFSV/4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