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GrBiBFSV (Brandenburg) — Inkrafttreten, Außerkrafttreten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Februar 2016 in Kraft. Gleichzeitig tritt die Berufsgrundbildungsverordnung vom 16. Juni 1998 (GVBl. II S. 442) außer Kraft.</w:t>
      </w:r>
    </w:p>
    <w:p>
      <w:r>
        <w:t xml:space="preserve">Einzelnorm</w:t>
      </w:r>
    </w:p>
    <w:p>
      <w:r>
        <w:t xml:space="preserve">Potsdam, den 1. März 2016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t xml:space="preserve">Anlagen</w:t>
      </w:r>
    </w:p>
    <w:p>
      <w:r>
        <w:t xml:space="preserve">1</w:t>
      </w:r>
    </w:p>
    <w:p>
      <w:r>
        <w:t xml:space="preserve">Anlage 1 576.6 KB</w:t>
      </w:r>
    </w:p>
    <w:p>
      <w:r>
        <w:t xml:space="preserve">2</w:t>
      </w:r>
    </w:p>
    <w:p>
      <w:r>
        <w:t xml:space="preserve">Anlage 2 583.5 KB</w:t>
      </w:r>
    </w:p>
    <w:p>
      <w:r>
        <w:rPr>
          <w:color w:val="555555"/>
          <w:sz w:val="17"/>
        </w:rPr>
        <w:t xml:space="preserve">Zitiervorschlag: § 11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