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GrBiBFSV (Brandenburg) — Übergangsbestimmungen</w:t>
      </w:r>
    </w:p>
    <w:p>
      <w:r>
        <w:rPr>
          <w:color w:val="555555"/>
          <w:sz w:val="18"/>
        </w:rPr>
        <w:t xml:space="preserve">Berufsgrundbildungsverordnung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Schülerinnen und Schüler, die mit Beginn des Schuljahres 2017/2018 in den Bildungsgang gemäß § 1 Absatz 2 aufgenommen wurden, absolvieren den Bildungsgang auf der Grundlage der Berufsgrundbildungsverordnung in der Fassung vom 1. März 2016 ( GVBl. II Nr. 8). Abweichend von Satz 1 findet § 3 Absatz 4 der geltenden Fassung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GrBiBFSV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https://recht.nulegal.eu/gesetze/GrBiBFSV/10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