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GrAusbV — Schriftlicher Ausbildungsnachweis</w:t>
      </w:r>
    </w:p>
    <w:p>
      <w:r>
        <w:rPr>
          <w:color w:val="555555"/>
          <w:sz w:val="18"/>
        </w:rPr>
        <w:t xml:space="preserve">Graveurausbildungsverordnung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Auszubildenden haben einen schriftlichen Ausbildungsnachweis zu führen. Dazu ist ihnen während der Ausbildungszeit Gelegenheit zu geben.</w:t>
      </w:r>
    </w:p>
    <w:p>
      <w:r>
        <w:t xml:space="preserve">(2) Die Ausbildenden haben den Ausbildungsnachweis regelmäßig durchzusehen.</w:t>
      </w:r>
    </w:p>
    <w:p>
      <w:r>
        <w:rPr>
          <w:color w:val="555555"/>
          <w:sz w:val="17"/>
        </w:rPr>
        <w:t xml:space="preserve">Zitiervorschlag: § 6 GrAusbV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https://recht.nulegal.eu/gesetze/GrAusbV/6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