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GrAusbV — Prüfungsbereich Gestaltung</w:t>
      </w:r>
    </w:p>
    <w:p>
      <w:r>
        <w:rPr>
          <w:color w:val="555555"/>
          <w:sz w:val="18"/>
        </w:rPr>
        <w:t xml:space="preserve">Graveurausbildungsverordnung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Gestaltung soll der Prüfling nachweisen, dass er in der Lage ist,</w:t>
      </w:r>
    </w:p>
    <w:p>
      <w:pPr>
        <w:ind w:left="420"/>
      </w:pPr>
      <w:r>
        <w:t xml:space="preserve">1. Skizzen und Zeichnungen anzufertigen,</w:t>
      </w:r>
    </w:p>
    <w:p>
      <w:pPr>
        <w:ind w:left="420"/>
      </w:pPr>
      <w:r>
        <w:t xml:space="preserve">2. Herstellungsprozesse für Modelle zu erläutern,</w:t>
      </w:r>
    </w:p>
    <w:p>
      <w:pPr>
        <w:ind w:left="420"/>
      </w:pPr>
      <w:r>
        <w:t xml:space="preserve">3. kunsthistorische und zeitgemäße Formensprache sowie Schriftgestaltung anzuwenden und</w:t>
      </w:r>
    </w:p>
    <w:p>
      <w:pPr>
        <w:ind w:left="420"/>
      </w:pPr>
      <w:r>
        <w:t xml:space="preserve">4. Grundlagen der Heraldik zu erläutern.</w:t>
      </w:r>
    </w:p>
    <w:p>
      <w:r>
        <w:t xml:space="preserve">(2) Der Prüfling soll Aufgaben schriftlich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14 GrAusbV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