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GrAbfertVbgAUTV</w:t>
      </w:r>
    </w:p>
    <w:p>
      <w:r>
        <w:rPr>
          <w:color w:val="555555"/>
          <w:sz w:val="18"/>
        </w:rPr>
        <w:t xml:space="preserve">Verordnung zu der deutsch-österreichischen Vereinbarung vom 3. Juli 1996/18. Juli 1996 über die Errichtung vorgeschobener deutscher Grenzdienststellen auf österreichischem Gebiet und vorgeschobener österreichischer Grenzdienststellen auf deutschem Gebiet und die zeitweilige österreichische Grenzabfertigung auf deutschem 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mit Wirkung vom 1. August 1996 in Kraft.</w:t>
      </w:r>
    </w:p>
    <w:p>
      <w:r>
        <w:t xml:space="preserve">(2) Diese Verordnung tritt an dem Tage außer Kraft, an dem die Vereinbarung vom 3. Juli 1996/18. Juli 1996 außer Kraft tritt.</w:t>
      </w:r>
    </w:p>
    <w:p>
      <w:r>
        <w:t xml:space="preserve">(3) Der Tag des Außerkrafttretens ist im Bundesgesetzblatt bekanntzugeben.</w:t>
      </w:r>
    </w:p>
    <w:p>
      <w:r>
        <w:rPr>
          <w:color w:val="555555"/>
          <w:sz w:val="17"/>
        </w:rPr>
        <w:t xml:space="preserve">Zitiervorschlag: § 2 GrAbfertVbgAUTV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https://recht.nulegal.eu/gesetze/GrAbfertVbgAUTV/2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