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GrAbfertDNKVtrG</w:t>
      </w:r>
    </w:p>
    <w:p>
      <w:r>
        <w:rPr>
          <w:color w:val="555555"/>
          <w:sz w:val="18"/>
        </w:rPr>
        <w:t xml:space="preserve">Gesetz zu dem Vertrag vom 30. März 1967 zwischen der Bundesrepublik Deutschland und dem Königreich Dänemark über Zollerleichterungen im kleinen Grenzverkehr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 vorsätzlich oder fahrlässig einer der in Artikel 6 Abs. 1 des Vertrages bezeichneten Beschränkungen zuwiderhandelt.</w:t>
      </w:r>
    </w:p>
    <w:p>
      <w:r>
        <w:t xml:space="preserve">(2) Die Ordnungswidrigkeit kann mit einer Geldbuße bis zu zehntausend Deutsche Mark geahndet werden.</w:t>
      </w:r>
    </w:p>
    <w:p>
      <w:r>
        <w:t xml:space="preserve">(3) Für das Bußgeldverfahren gelten die §§ 446, 447 und 449 der Reichsabgabenordnung entsprechend.</w:t>
      </w:r>
    </w:p>
    <w:p>
      <w:r>
        <w:rPr>
          <w:color w:val="555555"/>
          <w:sz w:val="17"/>
        </w:rPr>
        <w:t xml:space="preserve">Zitiervorschlag: Art 3 GrAbfertDNKVtrG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https://recht.nulegal.eu/gesetze/GrAbfertDNKVtrG/3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