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GrAbfAUTVbgV</w:t>
      </w:r>
    </w:p>
    <w:p>
      <w:r>
        <w:rPr>
          <w:color w:val="555555"/>
          <w:sz w:val="18"/>
        </w:rPr>
        <w:t xml:space="preserve">Verordnung zu der deutsch-österreichischen Vereinbarung vom 26. November 1993/10. Januar 1994 über die zeitweilige Grenzabfertigung an bestimmten Grenzübergängen auf deutschem und auf österreichischem Gebiet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1. Februar 1994 in Kraft.</w:t>
      </w:r>
    </w:p>
    <w:p>
      <w:r>
        <w:t xml:space="preserve">(2) Diese Verordnung tritt an dem Tag außer Kraft, an dem die Vereinbarung vom 26. November 1993/10. Januar 1994 außer Kraft tritt.</w:t>
      </w:r>
    </w:p>
    <w:p>
      <w:r>
        <w:t xml:space="preserve">(3) Der Tag des Außerkrafttretens ist im Bundesgesetzblatt bekanntzugeben.</w:t>
      </w:r>
    </w:p>
    <w:p>
      <w:r>
        <w:rPr>
          <w:color w:val="555555"/>
          <w:sz w:val="17"/>
        </w:rPr>
        <w:t xml:space="preserve">Zitiervorschlag: § 2 GrAbfAUTVbgV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https://recht.nulegal.eu/gesetze/GrAbfAUTVbgV/2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