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GräbVersammlV (Brandenburg) — Friedhof der Stadt Seelow</w:t>
      </w:r>
    </w:p>
    <w:p>
      <w:r>
        <w:rPr>
          <w:color w:val="555555"/>
          <w:sz w:val="18"/>
        </w:rPr>
        <w:t xml:space="preserve">Gräberstätten-Versammlungsverordnung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der unmittelbaren und engen räumlichen Nähe des Friedhofs</w:t>
      </w:r>
    </w:p>
    <w:p>
      <w:r>
        <w:t xml:space="preserve">der Stadt Seelow sind öffentliche Versammlungen unter freiem Himmel und</w:t>
      </w:r>
    </w:p>
    <w:p>
      <w:r>
        <w:t xml:space="preserve">Aufzüge nach § 1 Abs. 1 des</w:t>
      </w:r>
    </w:p>
    <w:p>
      <w:r>
        <w:t xml:space="preserve">Gräberstätten-Versammlungsgesetzes verboten.</w:t>
      </w:r>
    </w:p>
    <w:p>
      <w:r>
        <w:t xml:space="preserve">(2) Der Bereich der unmittelbaren und engen räumlichen Nähe</w:t>
      </w:r>
    </w:p>
    <w:p>
      <w:r>
        <w:t xml:space="preserve">bestimmt sich nach Anlage 1 zu dieser Verordnung.</w:t>
      </w:r>
    </w:p>
    <w:p>
      <w:r>
        <w:rPr>
          <w:color w:val="555555"/>
          <w:sz w:val="17"/>
        </w:rPr>
        <w:t xml:space="preserve">Zitiervorschlag: § 1 GräbVersammlV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https://recht.nulegal.eu/gesetze/Gr%C3%A4bVersammlV/1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