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GräbVersammlG (Brandenburg)</w:t>
      </w:r>
    </w:p>
    <w:p>
      <w:r>
        <w:rPr>
          <w:color w:val="555555"/>
          <w:sz w:val="18"/>
        </w:rPr>
        <w:t xml:space="preserve">Gräberstätten-Versammlungsgesetz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schränkt das Grundrecht auf</w:t>
      </w:r>
    </w:p>
    <w:p>
      <w:r>
        <w:t xml:space="preserve">Versammlungsfreiheit (Artikel 8 Abs. 1 des Grundgesetzes, Artikel 23 Abs. 1 der</w:t>
      </w:r>
    </w:p>
    <w:p>
      <w:r>
        <w:t xml:space="preserve">Verfassung des Landes Brandenburg) und das Grundrecht der freien</w:t>
      </w:r>
    </w:p>
    <w:p>
      <w:r>
        <w:t xml:space="preserve">Meinungsäußerung (Artikel 5 Abs. 1 des Grundgesetzes, Artikel 19</w:t>
      </w:r>
    </w:p>
    <w:p>
      <w:r>
        <w:t xml:space="preserve">Abs. 1 der Verfassung des Landes Brandenburg) ein.</w:t>
      </w:r>
    </w:p>
    <w:p>
      <w:r>
        <w:rPr>
          <w:color w:val="555555"/>
          <w:sz w:val="17"/>
        </w:rPr>
        <w:t xml:space="preserve">Zitiervorschlag: § 3 GräbVersammlG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https://recht.nulegal.eu/gesetze/Gr%C3%A4bVersammlG/3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