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GräbVersammlG (Brandenburg)</w:t>
      </w:r>
    </w:p>
    <w:p>
      <w:r>
        <w:rPr>
          <w:color w:val="555555"/>
          <w:sz w:val="18"/>
        </w:rPr>
        <w:t xml:space="preserve">Gräberstätten-Versammlungsgesetz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ersetzt § 16 des Versammlungsgesetzes.</w:t>
      </w:r>
    </w:p>
    <w:p>
      <w:r>
        <w:rPr>
          <w:color w:val="555555"/>
          <w:sz w:val="17"/>
        </w:rPr>
        <w:t xml:space="preserve">Zitiervorschlag: § 2 GräbVersammlG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https://recht.nulegal.eu/gesetze/Gr%C3%A4bVersammlG/2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