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GräbVersammlG (Brandenburg)</w:t>
      </w:r>
    </w:p>
    <w:p>
      <w:r>
        <w:rPr>
          <w:color w:val="555555"/>
          <w:sz w:val="18"/>
        </w:rPr>
        <w:t xml:space="preserve">Gräberstätten-Versammlungsgesetz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Öffentliche Versammlungen unter freiem Himmel und</w:t>
      </w:r>
    </w:p>
    <w:p>
      <w:r>
        <w:t xml:space="preserve">Aufzüge sind auf Gräberstätten (§ 1 Abs. 2 des Gesetzes zur</w:t>
      </w:r>
    </w:p>
    <w:p>
      <w:r>
        <w:t xml:space="preserve">Ausführung des Gräbergesetzes im Land Brandenburg) sowie in dem durch</w:t>
      </w:r>
    </w:p>
    <w:p>
      <w:r>
        <w:t xml:space="preserve">oder aufgrund dieses Gesetzes bestimmten Bereich der unmittelbaren und engen</w:t>
      </w:r>
    </w:p>
    <w:p>
      <w:r>
        <w:t xml:space="preserve">räumlichen Nähe von Gräberstätten verboten.</w:t>
      </w:r>
    </w:p>
    <w:p>
      <w:r>
        <w:t xml:space="preserve">(2) Im Einzelfall kann die zuständige Behörde auf</w:t>
      </w:r>
    </w:p>
    <w:p>
      <w:r>
        <w:t xml:space="preserve">Antrag des Veranstalters eine Ausnahme vom Verbot nach Absatz 1 erteilen, es</w:t>
      </w:r>
    </w:p>
    <w:p>
      <w:r>
        <w:t xml:space="preserve">sei denn, der äußere Ablauf oder der Gegenstand der Versammlung oder</w:t>
      </w:r>
    </w:p>
    <w:p>
      <w:r>
        <w:t xml:space="preserve">des Aufzugs, insbesondere auch eine vorgesehene nicht strafbare Kundgabe</w:t>
      </w:r>
    </w:p>
    <w:p>
      <w:r>
        <w:t xml:space="preserve">bestimmter Meinungen, lässt besorgen, dass</w:t>
      </w:r>
    </w:p>
    <w:p>
      <w:r>
        <w:t xml:space="preserve">an Formen oder Inhalte nationalsozialistischen Heldengedenkens oder von</w:t>
      </w:r>
    </w:p>
    <w:p>
      <w:r>
        <w:t xml:space="preserve">Verlautbarungen des Oberkommandos der Wehrmacht oder an bestimmte</w:t>
      </w:r>
    </w:p>
    <w:p>
      <w:r>
        <w:t xml:space="preserve">kennzeichnende Gebräuche und Gepflogenheiten nationalsozialistischer</w:t>
      </w:r>
    </w:p>
    <w:p>
      <w:r>
        <w:t xml:space="preserve">Organisationen angeknüpft wird,</w:t>
      </w:r>
    </w:p>
    <w:p>
      <w:r>
        <w:t xml:space="preserve">das Unrecht eines Angriffskriegs, einer Gewaltherrschaft, von</w:t>
      </w:r>
    </w:p>
    <w:p>
      <w:r>
        <w:t xml:space="preserve">Völkermord, von Verbrechen gegen die Menschlichkeit oder von</w:t>
      </w:r>
    </w:p>
    <w:p>
      <w:r>
        <w:t xml:space="preserve">Kriegsverbrechen auch nur teilweise geleugnet, gebilligt oder verharmlost wird</w:t>
      </w:r>
    </w:p>
    <w:p>
      <w:r>
        <w:t xml:space="preserve">oder</w:t>
      </w:r>
    </w:p>
    <w:p>
      <w:r>
        <w:t xml:space="preserve">die verantwortliche oder auch nur tatsächliche Mitwirkung an diesem</w:t>
      </w:r>
    </w:p>
    <w:p>
      <w:r>
        <w:t xml:space="preserve">Unrecht oder an der Aufrechterhaltung der nationalsozialistischen Gewalt- und</w:t>
      </w:r>
    </w:p>
    <w:p>
      <w:r>
        <w:t xml:space="preserve">Willkürherrschaft, auch nur in Ansehung soldatischer Leistungen, als</w:t>
      </w:r>
    </w:p>
    <w:p>
      <w:r>
        <w:t xml:space="preserve">ehrenhaft oder sonst vorbildlich dargestellt wird.</w:t>
      </w:r>
    </w:p>
    <w:p>
      <w:r>
        <w:t xml:space="preserve">(3) Bei der Gräberstätte „Waldfriedhof</w:t>
      </w:r>
    </w:p>
    <w:p>
      <w:r>
        <w:t xml:space="preserve">Halbe“ umfasst der Bereich der unmittelbaren und engen räumlichen</w:t>
      </w:r>
    </w:p>
    <w:p>
      <w:r>
        <w:t xml:space="preserve">Nähe die an sie angrenzenden und zum Betreten oder Befahren bestimmten</w:t>
      </w:r>
    </w:p>
    <w:p>
      <w:r>
        <w:t xml:space="preserve">oder geeigneten Flächen</w:t>
      </w:r>
    </w:p>
    <w:p>
      <w:r>
        <w:t xml:space="preserve">der Ernst-Teichmann-Straße vom Abzweig des Weges am Friedhof an,</w:t>
      </w:r>
    </w:p>
    <w:p>
      <w:r>
        <w:t xml:space="preserve">einschließlich der Park- und Wendefläche vor dem Haupteingang zur</w:t>
      </w:r>
    </w:p>
    <w:p>
      <w:r>
        <w:t xml:space="preserve">Gräberstätte,</w:t>
      </w:r>
    </w:p>
    <w:p>
      <w:r>
        <w:t xml:space="preserve">des Friedhofes der Gemeinde Halbe, einschließlich der Fläche</w:t>
      </w:r>
    </w:p>
    <w:p>
      <w:r>
        <w:t xml:space="preserve">des Denkmals an die Gefallenen des 1. Weltkrieges, sowie</w:t>
      </w:r>
    </w:p>
    <w:p>
      <w:r>
        <w:t xml:space="preserve">des Weges am Friedhof und des Weges, der in Verlängerung dieses Weges</w:t>
      </w:r>
    </w:p>
    <w:p>
      <w:r>
        <w:t xml:space="preserve">entlang der Einfriedung der Gräberstätte um diese herum bis auf die</w:t>
      </w:r>
    </w:p>
    <w:p>
      <w:r>
        <w:t xml:space="preserve">Ernst-Teichmann-Straße führt.</w:t>
      </w:r>
    </w:p>
    <w:p>
      <w:r>
        <w:t xml:space="preserve">(4) Die Landesregierung kann durch Rechtsverordnung den Bereich</w:t>
      </w:r>
    </w:p>
    <w:p>
      <w:r>
        <w:t xml:space="preserve">der unmittelbaren und engen räumlichen Nähe weiterer</w:t>
      </w:r>
    </w:p>
    <w:p>
      <w:r>
        <w:t xml:space="preserve">Gräberstätten bestimmen.</w:t>
      </w:r>
    </w:p>
    <w:p>
      <w:r>
        <w:rPr>
          <w:color w:val="555555"/>
          <w:sz w:val="17"/>
        </w:rPr>
        <w:t xml:space="preserve">Zitiervorschlag: § 1 GräbVersammlG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https://recht.nulegal.eu/gesetze/Gr%C3%A4bVersammlG/1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