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GräbG — Identifizierungen</w:t>
      </w:r>
    </w:p>
    <w:p>
      <w:r>
        <w:rPr>
          <w:color w:val="555555"/>
          <w:sz w:val="18"/>
        </w:rPr>
        <w:t xml:space="preserve">Gräbergesetz</w:t>
      </w:r>
    </w:p>
    <w:p>
      <w:r>
        <w:rPr>
          <w:color w:val="555555"/>
          <w:sz w:val="18"/>
        </w:rPr>
        <w:t xml:space="preserve">Stand: 10.06.2019 (konsolidierte Textfassung, kein amtliches Inkrafttretensdatum)</w:t>
      </w:r>
    </w:p>
    <w:p>
      <w:r>
        <w:t xml:space="preserve">Zum Zwecke der Identifizierung namentlich unbekannter Toter kann eine Graböffnung angeordnet werden. Eine solche Anordnung soll nur getroffen werden, wenn eine Identifizierung nach gutachtlicher Äußerung des Bundesarchivs anders nicht durchführbar ist und eine Identitätsfeststellung mit hoher Wahrscheinlichkeit zu erwarten steht.</w:t>
      </w:r>
    </w:p>
    <w:p>
      <w:r>
        <w:rPr>
          <w:color w:val="555555"/>
          <w:sz w:val="17"/>
        </w:rPr>
        <w:t xml:space="preserve">Zitiervorschlag: § 8 GräbG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https://recht.nulegal.eu/gesetze/Gr%C3%A4bG/8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