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GräbG — Herausgabe von Gegenständen</w:t>
      </w:r>
    </w:p>
    <w:p>
      <w:r>
        <w:rPr>
          <w:color w:val="555555"/>
          <w:sz w:val="18"/>
        </w:rPr>
        <w:t xml:space="preserve">Gräbergesetz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Wer Unterlagen zur Person oder Nachlassgegenstände der in § 1 genannten Personen sowie Verlustunterlagen der ehemaligen deutschen Wehrmacht (Truppenlisten und -meldungen, Erkennungsmarkenverzeichnisse, Soldbücher, Kranken- und Lazarettpapiere, Grablageakten) oder sonstige Gegenstände unberechtigt in Besitz hat, die für personenstandsrechtliche Feststellungen, Identifizierung unbekannter Toter oder Ermittlung von Grablagen der in § 1 genannten Personen zweckdienlich sein können, ist verpflichtet, sie dem Bundesarchiv herauszugeben.</w:t>
      </w:r>
    </w:p>
    <w:p>
      <w:r>
        <w:rPr>
          <w:color w:val="555555"/>
          <w:sz w:val="17"/>
        </w:rPr>
        <w:t xml:space="preserve">Zitiervorschlag: § 7 GräbG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https://recht.nulegal.eu/gesetze/Gr%C3%A4bG/7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