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GräbG — Verlegung von Gräbern</w:t>
      </w:r>
    </w:p>
    <w:p>
      <w:r>
        <w:rPr>
          <w:color w:val="555555"/>
          <w:sz w:val="18"/>
        </w:rPr>
        <w:t xml:space="preserve">Gräbergesetz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Gräber nach § 1 Absatz 2 dürfen im Inland nur verlegt werden, wenn die zuständige Landesbehörde zugestimmt hat. Die Toten sollen in einem Sammelgrab in einer geschlossenen Begräbnisstelle wiederbestattet werden.</w:t>
      </w:r>
    </w:p>
    <w:p>
      <w:r>
        <w:t xml:space="preserve">(2) Die Zustimmung soll insbesondere dann erteilt werden, wenn verstreut liegende Gräber in eine oder zu einer geschlossenen Begräbnisstätte zusammengelegt werden.</w:t>
      </w:r>
    </w:p>
    <w:p>
      <w:r>
        <w:t xml:space="preserve">(3) Geschlossene Begräbnisstätten sind Friedhöfe und Abteilungen eines Friedhofs.</w:t>
      </w:r>
    </w:p>
    <w:p>
      <w:r>
        <w:rPr>
          <w:color w:val="555555"/>
          <w:sz w:val="17"/>
        </w:rPr>
        <w:t xml:space="preserve">Zitiervorschlag: § 6 GräbG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https://recht.nulegal.eu/gesetze/Gr%C3%A4bG/6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